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9E7" w:rsidRDefault="00C049E7">
      <w:pPr>
        <w:pStyle w:val="berschrift1"/>
        <w:rPr>
          <w:rFonts w:ascii="Arial" w:hAnsi="Arial" w:cs="Arial"/>
        </w:rPr>
      </w:pPr>
    </w:p>
    <w:p w:rsidR="00C049E7" w:rsidRPr="00C74801" w:rsidRDefault="00C74801">
      <w:pPr>
        <w:pStyle w:val="berschrift1"/>
        <w:rPr>
          <w:rFonts w:ascii="Arial" w:hAnsi="Arial" w:cs="Arial"/>
          <w:b/>
          <w:bCs/>
          <w:lang w:val="en-GB"/>
        </w:rPr>
      </w:pPr>
      <w:r w:rsidRPr="00C74801">
        <w:rPr>
          <w:rFonts w:ascii="Arial" w:hAnsi="Arial" w:cs="Arial"/>
          <w:bCs/>
          <w:lang w:val="en-GB"/>
        </w:rPr>
        <w:t>FISCO Series – Fix Install System Concept</w:t>
      </w:r>
    </w:p>
    <w:p w:rsidR="00C049E7" w:rsidRDefault="00C74801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IPS</w:t>
      </w:r>
      <w:r w:rsidR="004E4A9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15</w:t>
      </w:r>
    </w:p>
    <w:p w:rsidR="00C049E7" w:rsidRDefault="00C049E7">
      <w:pPr>
        <w:numPr>
          <w:ilvl w:val="0"/>
          <w:numId w:val="2"/>
        </w:numPr>
        <w:rPr>
          <w:rFonts w:ascii="Arial" w:hAnsi="Arial" w:cs="Arial"/>
        </w:rPr>
      </w:pPr>
    </w:p>
    <w:p w:rsidR="00C049E7" w:rsidRDefault="00C049E7">
      <w:pPr>
        <w:numPr>
          <w:ilvl w:val="0"/>
          <w:numId w:val="2"/>
        </w:numPr>
        <w:rPr>
          <w:rFonts w:ascii="Arial" w:hAnsi="Arial" w:cs="Arial"/>
        </w:rPr>
      </w:pPr>
    </w:p>
    <w:p w:rsidR="00C049E7" w:rsidRDefault="00C7480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2-Wege Lautsprecher mit integrierter passiver Frequenzweiche für Anwendungen in Festinstallationen.</w:t>
      </w:r>
    </w:p>
    <w:p w:rsidR="00C049E7" w:rsidRDefault="00C049E7">
      <w:pPr>
        <w:numPr>
          <w:ilvl w:val="0"/>
          <w:numId w:val="2"/>
        </w:numPr>
        <w:rPr>
          <w:rFonts w:ascii="Arial" w:hAnsi="Arial" w:cs="Arial"/>
        </w:rPr>
      </w:pPr>
    </w:p>
    <w:p w:rsidR="00C049E7" w:rsidRDefault="00C7480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C049E7" w:rsidRDefault="00C7480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Ein 15“-Tieftonchassis und ein 1“-Hochtontreiber mit elliptischem 85°x55° Horn (drehbar um 90°).</w:t>
      </w:r>
    </w:p>
    <w:p w:rsidR="00C049E7" w:rsidRDefault="00C7480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 für dauerhaften Schutz gegen Feuchtigkeitseinflüsse.</w:t>
      </w:r>
    </w:p>
    <w:p w:rsidR="00C049E7" w:rsidRDefault="00C049E7">
      <w:pPr>
        <w:numPr>
          <w:ilvl w:val="0"/>
          <w:numId w:val="2"/>
        </w:numPr>
        <w:rPr>
          <w:rFonts w:ascii="Arial" w:hAnsi="Arial" w:cs="Arial"/>
        </w:rPr>
      </w:pPr>
    </w:p>
    <w:p w:rsidR="00C049E7" w:rsidRDefault="00C7480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C049E7" w:rsidRDefault="00C7480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Symmetrisches Holzgehäuse mit kratz- und schlagfester Polyurethan-Beschichtung</w:t>
      </w:r>
    </w:p>
    <w:p w:rsidR="00C049E7" w:rsidRDefault="00C7480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(schwarz oder weiß, optional Farben nach RAL-Tabelle).</w:t>
      </w:r>
    </w:p>
    <w:p w:rsidR="00C049E7" w:rsidRDefault="00C7480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Ballwurfsicheres, höchst schalldurchlässiges Wabengitter mit hinterlegtem Akustikschaum.</w:t>
      </w:r>
    </w:p>
    <w:p w:rsidR="00C049E7" w:rsidRDefault="00C74801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Integrierte Hardwareelemente für vielfältige wandnahe Montagemöglichkeiten</w:t>
      </w:r>
      <w:r>
        <w:rPr>
          <w:rFonts w:ascii="Arial" w:hAnsi="Arial" w:cs="Arial"/>
          <w:szCs w:val="24"/>
        </w:rPr>
        <w:t>.</w:t>
      </w:r>
    </w:p>
    <w:p w:rsidR="00C049E7" w:rsidRDefault="00C049E7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C049E7" w:rsidRDefault="00C74801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C049E7" w:rsidRDefault="00C74801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peak): 500 W / 2000 W </w:t>
      </w:r>
    </w:p>
    <w:p w:rsidR="00C049E7" w:rsidRDefault="00C74801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8 Ω </w:t>
      </w:r>
    </w:p>
    <w:p w:rsidR="00C049E7" w:rsidRDefault="00C74801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Frequenzgang: 55 Hz - 20 kHz </w:t>
      </w:r>
    </w:p>
    <w:p w:rsidR="00C049E7" w:rsidRDefault="00C74801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(nom. 1W/1m / peak/1m): 98 / 131 dB</w:t>
      </w:r>
    </w:p>
    <w:p w:rsidR="00C049E7" w:rsidRDefault="00C74801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Abstrahlwinkel (h x v): 85° x 55° (drehbar)</w:t>
      </w:r>
    </w:p>
    <w:p w:rsidR="00C049E7" w:rsidRDefault="00C74801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Anschluss: 2x Neutrik Speakon (In/Out) und 2x Phoenix (In/Out), optional Festanschluss mit PG-</w:t>
      </w:r>
    </w:p>
    <w:p w:rsidR="00C049E7" w:rsidRDefault="00C74801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Verschraubung</w:t>
      </w:r>
    </w:p>
    <w:p w:rsidR="00C049E7" w:rsidRDefault="00C74801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Maße (B x H x T): 450 x 700 x 420 mm</w:t>
      </w:r>
    </w:p>
    <w:p w:rsidR="00C049E7" w:rsidRDefault="00C74801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Gewicht: 24 kg</w:t>
      </w:r>
      <w:r>
        <w:rPr>
          <w:rFonts w:ascii="Arial" w:hAnsi="Arial" w:cs="Arial"/>
          <w:color w:val="000000"/>
        </w:rPr>
        <w:tab/>
      </w:r>
    </w:p>
    <w:p w:rsidR="00C049E7" w:rsidRDefault="00C049E7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C049E7" w:rsidRDefault="00C74801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C049E7" w:rsidRDefault="00C74801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K.M.E. - DA 428 mit Systempreset für optimale Betriebssicherheit und Systementzerrung</w:t>
      </w:r>
    </w:p>
    <w:p w:rsidR="00C049E7" w:rsidRDefault="00C049E7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C049E7" w:rsidRDefault="00C7480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Optionen:</w:t>
      </w:r>
    </w:p>
    <w:p w:rsidR="00C049E7" w:rsidRDefault="00C7480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Beschichtung aller Farben nach RAL-Tabelle</w:t>
      </w:r>
    </w:p>
    <w:p w:rsidR="00C049E7" w:rsidRDefault="00C7480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Erhöhung der Feuchtraumeignung</w:t>
      </w:r>
    </w:p>
    <w:p w:rsidR="00C049E7" w:rsidRDefault="00C7480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100V-Übertrager für ELA-Anwendungen</w:t>
      </w:r>
    </w:p>
    <w:p w:rsidR="00C049E7" w:rsidRDefault="00C74801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Anschlussfeld mit Festanschluss (PG-Verschraubung)</w:t>
      </w:r>
    </w:p>
    <w:p w:rsidR="00C049E7" w:rsidRDefault="00C049E7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C049E7" w:rsidRDefault="00C74801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Optionales Montagezubehör:</w:t>
      </w:r>
    </w:p>
    <w:p w:rsidR="00C049E7" w:rsidRDefault="00C7480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U-Bügel mit Drehfunktion (Wand, Decke)</w:t>
      </w:r>
    </w:p>
    <w:p w:rsidR="00C049E7" w:rsidRDefault="00C7480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Doppel-U-Bügel für Flugmontage (Traverse, Decke)</w:t>
      </w:r>
    </w:p>
    <w:p w:rsidR="00C049E7" w:rsidRDefault="00C74801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FISCO-Multimount Halterung zur flexiblen Ausrichtung (Wandmontage)</w:t>
      </w:r>
    </w:p>
    <w:p w:rsidR="00C049E7" w:rsidRDefault="00C049E7">
      <w:pPr>
        <w:numPr>
          <w:ilvl w:val="0"/>
          <w:numId w:val="2"/>
        </w:numPr>
        <w:rPr>
          <w:rFonts w:ascii="Arial" w:hAnsi="Arial" w:cs="Arial"/>
          <w:color w:val="000000"/>
        </w:rPr>
      </w:pPr>
    </w:p>
    <w:p w:rsidR="00C049E7" w:rsidRDefault="00C049E7">
      <w:pPr>
        <w:numPr>
          <w:ilvl w:val="0"/>
          <w:numId w:val="2"/>
        </w:numPr>
        <w:rPr>
          <w:rFonts w:ascii="Arial" w:hAnsi="Arial" w:cs="Arial"/>
        </w:rPr>
      </w:pPr>
    </w:p>
    <w:p w:rsidR="00C049E7" w:rsidRDefault="00C7480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>Hersteller:</w:t>
      </w:r>
      <w:r>
        <w:rPr>
          <w:rFonts w:ascii="Arial" w:hAnsi="Arial" w:cs="Arial"/>
          <w:lang w:val="en-GB"/>
        </w:rPr>
        <w:t xml:space="preserve"> K.M.E.</w:t>
      </w:r>
    </w:p>
    <w:p w:rsidR="00C049E7" w:rsidRDefault="00C049E7">
      <w:pPr>
        <w:numPr>
          <w:ilvl w:val="0"/>
          <w:numId w:val="2"/>
        </w:numPr>
        <w:rPr>
          <w:rFonts w:ascii="Arial" w:hAnsi="Arial" w:cs="Arial"/>
        </w:rPr>
      </w:pPr>
    </w:p>
    <w:p w:rsidR="00C049E7" w:rsidRDefault="00C74801">
      <w:pPr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Typ:</w:t>
      </w:r>
      <w:r>
        <w:rPr>
          <w:rFonts w:ascii="Arial" w:hAnsi="Arial" w:cs="Arial"/>
          <w:lang w:val="en-GB"/>
        </w:rPr>
        <w:t xml:space="preserve"> IPS</w:t>
      </w:r>
      <w:r w:rsidR="004E4A9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15</w:t>
      </w:r>
    </w:p>
    <w:p w:rsidR="00C049E7" w:rsidRDefault="00C049E7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C049E7" w:rsidRDefault="00C74801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Artikelnummern: </w:t>
      </w:r>
      <w:r>
        <w:rPr>
          <w:rFonts w:ascii="Arial" w:hAnsi="Arial" w:cs="Arial"/>
        </w:rPr>
        <w:t>1-110-066 (schwarz), 1-110-075 (weiß)</w:t>
      </w:r>
      <w:r>
        <w:rPr>
          <w:rFonts w:ascii="Arial" w:hAnsi="Arial" w:cs="Arial"/>
          <w:sz w:val="2"/>
        </w:rPr>
        <w:t xml:space="preserve">(?)  </w:t>
      </w:r>
    </w:p>
    <w:p w:rsidR="00C049E7" w:rsidRDefault="00C049E7">
      <w:pPr>
        <w:numPr>
          <w:ilvl w:val="0"/>
          <w:numId w:val="2"/>
        </w:numPr>
        <w:rPr>
          <w:rFonts w:cs="Helvetica"/>
          <w:sz w:val="2"/>
        </w:rPr>
      </w:pPr>
    </w:p>
    <w:p w:rsidR="00C049E7" w:rsidRDefault="00C049E7">
      <w:pPr>
        <w:numPr>
          <w:ilvl w:val="0"/>
          <w:numId w:val="2"/>
        </w:numPr>
        <w:rPr>
          <w:rFonts w:cs="Helvetica"/>
          <w:sz w:val="2"/>
        </w:rPr>
      </w:pPr>
    </w:p>
    <w:p w:rsidR="00C049E7" w:rsidRDefault="00C049E7">
      <w:pPr>
        <w:numPr>
          <w:ilvl w:val="0"/>
          <w:numId w:val="2"/>
        </w:numPr>
        <w:rPr>
          <w:rFonts w:cs="Helvetica"/>
          <w:sz w:val="2"/>
        </w:rPr>
      </w:pPr>
    </w:p>
    <w:p w:rsidR="00C049E7" w:rsidRDefault="00C049E7">
      <w:pPr>
        <w:numPr>
          <w:ilvl w:val="0"/>
          <w:numId w:val="2"/>
        </w:numPr>
        <w:rPr>
          <w:rFonts w:cs="Helvetica"/>
          <w:sz w:val="2"/>
        </w:rPr>
      </w:pPr>
    </w:p>
    <w:p w:rsidR="00C049E7" w:rsidRDefault="00C049E7">
      <w:pPr>
        <w:numPr>
          <w:ilvl w:val="0"/>
          <w:numId w:val="2"/>
        </w:numPr>
        <w:rPr>
          <w:rFonts w:cs="Helvetica"/>
          <w:sz w:val="2"/>
        </w:rPr>
      </w:pPr>
    </w:p>
    <w:p w:rsidR="00C049E7" w:rsidRDefault="00C049E7">
      <w:pPr>
        <w:numPr>
          <w:ilvl w:val="0"/>
          <w:numId w:val="2"/>
        </w:numPr>
        <w:rPr>
          <w:rFonts w:cs="Helvetica"/>
          <w:sz w:val="2"/>
        </w:rPr>
      </w:pPr>
    </w:p>
    <w:p w:rsidR="00C049E7" w:rsidRDefault="00C049E7">
      <w:pPr>
        <w:numPr>
          <w:ilvl w:val="0"/>
          <w:numId w:val="2"/>
        </w:numPr>
        <w:rPr>
          <w:rFonts w:cs="Helvetica"/>
          <w:sz w:val="2"/>
        </w:rPr>
      </w:pPr>
    </w:p>
    <w:p w:rsidR="00C049E7" w:rsidRDefault="00C049E7">
      <w:pPr>
        <w:numPr>
          <w:ilvl w:val="0"/>
          <w:numId w:val="2"/>
        </w:numPr>
        <w:rPr>
          <w:rFonts w:cs="Helvetica"/>
          <w:sz w:val="2"/>
        </w:rPr>
      </w:pPr>
    </w:p>
    <w:p w:rsidR="00C049E7" w:rsidRDefault="00C049E7">
      <w:pPr>
        <w:numPr>
          <w:ilvl w:val="0"/>
          <w:numId w:val="2"/>
        </w:numPr>
        <w:rPr>
          <w:rFonts w:cs="Helvetica"/>
          <w:sz w:val="2"/>
        </w:rPr>
      </w:pPr>
    </w:p>
    <w:p w:rsidR="00C049E7" w:rsidRDefault="00C049E7">
      <w:pPr>
        <w:numPr>
          <w:ilvl w:val="0"/>
          <w:numId w:val="2"/>
        </w:numPr>
        <w:rPr>
          <w:rFonts w:cs="Helvetica"/>
          <w:sz w:val="2"/>
        </w:rPr>
      </w:pPr>
    </w:p>
    <w:p w:rsidR="00C049E7" w:rsidRDefault="00C049E7">
      <w:pPr>
        <w:numPr>
          <w:ilvl w:val="0"/>
          <w:numId w:val="2"/>
        </w:numPr>
        <w:rPr>
          <w:rFonts w:cs="Helvetica"/>
          <w:sz w:val="2"/>
        </w:rPr>
      </w:pPr>
    </w:p>
    <w:p w:rsidR="00C049E7" w:rsidRDefault="00C74801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C049E7" w:rsidRDefault="00C74801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lang w:val="it-IT"/>
        </w:rPr>
        <w:t>Telefon +49 (0)3 74 67 / 5 58-0, Telefax +49 (0)3 74 67 / 5 58-33, E-Mail info@kme-sound.com</w:t>
      </w:r>
    </w:p>
    <w:p w:rsidR="00C049E7" w:rsidRDefault="00C74801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>
        <w:rPr>
          <w:rStyle w:val="Hyperlink"/>
          <w:rFonts w:ascii="Arial" w:hAnsi="Arial" w:cs="Arial"/>
          <w:sz w:val="16"/>
          <w:szCs w:val="16"/>
        </w:rPr>
        <w:t>, 6.09.2016</w:t>
      </w:r>
    </w:p>
    <w:sectPr w:rsidR="00C04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E7" w:rsidRDefault="00C74801">
      <w:r>
        <w:separator/>
      </w:r>
    </w:p>
  </w:endnote>
  <w:endnote w:type="continuationSeparator" w:id="0">
    <w:p w:rsidR="00C049E7" w:rsidRDefault="00C7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CC" w:rsidRDefault="00A23EC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9E7" w:rsidRDefault="00C049E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9E7" w:rsidRDefault="00C049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E7" w:rsidRDefault="00C74801">
      <w:r>
        <w:separator/>
      </w:r>
    </w:p>
  </w:footnote>
  <w:footnote w:type="continuationSeparator" w:id="0">
    <w:p w:rsidR="00C049E7" w:rsidRDefault="00C74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CC" w:rsidRDefault="00A23EC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9E7" w:rsidRDefault="00C74801">
    <w:pPr>
      <w:pStyle w:val="Kopfzeile"/>
      <w:jc w:val="center"/>
    </w:pPr>
    <w:bookmarkStart w:id="1" w:name="_GoBack"/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635</wp:posOffset>
          </wp:positionV>
          <wp:extent cx="1074420" cy="107442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744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9E7" w:rsidRDefault="00C049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01"/>
    <w:rsid w:val="004E4A99"/>
    <w:rsid w:val="00A23ECC"/>
    <w:rsid w:val="00C049E7"/>
    <w:rsid w:val="00C7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B8CB339F-CCAF-4FD4-854F-0CFDD422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VERSIO VL 8 i</vt:lpstr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IPS 15</dc:title>
  <dc:subject/>
  <dc:creator>Klingenthaler Musikelektronik GmbH</dc:creator>
  <cp:keywords/>
  <dc:description/>
  <cp:lastModifiedBy>Friedemann Leutsch</cp:lastModifiedBy>
  <cp:revision>4</cp:revision>
  <cp:lastPrinted>2014-02-03T08:44:00Z</cp:lastPrinted>
  <dcterms:created xsi:type="dcterms:W3CDTF">2018-04-04T14:45:00Z</dcterms:created>
  <dcterms:modified xsi:type="dcterms:W3CDTF">2019-02-14T09:58:00Z</dcterms:modified>
</cp:coreProperties>
</file>